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0941BC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0941BC">
              <w:rPr>
                <w:sz w:val="18"/>
                <w:lang w:val="en-GB"/>
              </w:rPr>
              <w:t>&lt; Renovation (Investment maintenance) of 500 m2 residential building for housing communities - Shelter&gt;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0941BC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0941BC">
              <w:rPr>
                <w:sz w:val="18"/>
                <w:lang w:val="en-GB"/>
              </w:rPr>
              <w:t>&lt; RORS00223/ GCKikinda/</w:t>
            </w:r>
            <w:r>
              <w:rPr>
                <w:sz w:val="18"/>
                <w:lang w:val="en-GB"/>
              </w:rPr>
              <w:t>LP1/</w:t>
            </w:r>
            <w:r w:rsidRPr="000941BC">
              <w:rPr>
                <w:sz w:val="18"/>
                <w:lang w:val="en-GB"/>
              </w:rPr>
              <w:t>TD</w:t>
            </w:r>
            <w:r w:rsidR="00A318A0">
              <w:rPr>
                <w:sz w:val="18"/>
                <w:lang w:val="en-GB"/>
              </w:rPr>
              <w:t>3</w:t>
            </w:r>
            <w:bookmarkStart w:id="1" w:name="_GoBack"/>
            <w:bookmarkEnd w:id="1"/>
            <w:r w:rsidRPr="000941BC">
              <w:rPr>
                <w:sz w:val="18"/>
                <w:lang w:val="en-GB"/>
              </w:rPr>
              <w:t>&gt;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  <w:r w:rsidR="00FC7165">
              <w:rPr>
                <w:b/>
                <w:sz w:val="20"/>
                <w:lang w:val="en-GB"/>
              </w:rPr>
              <w:t xml:space="preserve">  </w:t>
            </w:r>
          </w:p>
          <w:p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FootnoteReference"/>
                <w:sz w:val="20"/>
                <w:lang w:val="en-GB"/>
              </w:rPr>
              <w:footnoteReference w:id="1"/>
            </w:r>
            <w:r w:rsidRPr="004769A3">
              <w:rPr>
                <w:sz w:val="20"/>
                <w:lang w:val="en-GB"/>
              </w:rPr>
              <w:t>)</w:t>
            </w:r>
          </w:p>
          <w:p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Default="00F256CC" w:rsidP="00F4085E">
      <w:pPr>
        <w:widowControl w:val="0"/>
        <w:rPr>
          <w:lang w:val="en-GB"/>
        </w:rPr>
      </w:pPr>
    </w:p>
    <w:p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FootnoteReference"/>
          <w:sz w:val="22"/>
          <w:szCs w:val="22"/>
          <w:highlight w:val="yellow"/>
          <w:lang w:val="en-GB"/>
        </w:rPr>
        <w:footnoteReference w:id="2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FootnoteReference"/>
          <w:sz w:val="22"/>
          <w:szCs w:val="22"/>
          <w:highlight w:val="yellow"/>
          <w:lang w:val="en-GB"/>
        </w:rPr>
        <w:footnoteReference w:id="3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</w:t>
      </w:r>
      <w:proofErr w:type="spellStart"/>
      <w:r w:rsidRPr="00F256CC">
        <w:rPr>
          <w:sz w:val="22"/>
          <w:szCs w:val="22"/>
          <w:highlight w:val="yellow"/>
          <w:lang w:val="en-GB"/>
        </w:rPr>
        <w:t>subcriteria</w:t>
      </w:r>
      <w:proofErr w:type="spellEnd"/>
      <w:r w:rsidRPr="00F256CC">
        <w:rPr>
          <w:sz w:val="22"/>
          <w:szCs w:val="22"/>
          <w:highlight w:val="yellow"/>
          <w:lang w:val="en-GB"/>
        </w:rPr>
        <w:t xml:space="preserve">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388" w:rsidRDefault="008C5388">
      <w:r>
        <w:separator/>
      </w:r>
    </w:p>
  </w:endnote>
  <w:endnote w:type="continuationSeparator" w:id="0">
    <w:p w:rsidR="008C5388" w:rsidRDefault="008C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4769A3" w:rsidP="00787C65">
    <w:pPr>
      <w:pStyle w:val="Footer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4769A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388" w:rsidRDefault="008C5388">
      <w:r>
        <w:separator/>
      </w:r>
    </w:p>
  </w:footnote>
  <w:footnote w:type="continuationSeparator" w:id="0">
    <w:p w:rsidR="008C5388" w:rsidRDefault="008C5388">
      <w:r>
        <w:continuationSeparator/>
      </w:r>
    </w:p>
  </w:footnote>
  <w:footnote w:id="1">
    <w:p w:rsidR="00FC7165" w:rsidRPr="004769A3" w:rsidRDefault="00FC716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4769A3">
        <w:rPr>
          <w:lang w:val="en-IE"/>
        </w:rPr>
        <w:t xml:space="preserve"> </w:t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E7741B" w:rsidRPr="00E7741B">
        <w:rPr>
          <w:lang w:val="en-IE"/>
        </w:rPr>
        <w:t>INSC Regulation 2021/948 of 27 May 2021 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  <w:footnote w:id="2">
    <w:p w:rsidR="00481D06" w:rsidRPr="00481D06" w:rsidRDefault="00481D06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Pr="00481D06">
        <w:rPr>
          <w:lang w:val="en-GB"/>
        </w:rPr>
        <w:t xml:space="preserve"> </w:t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3">
    <w:p w:rsidR="00884221" w:rsidRPr="006779F7" w:rsidRDefault="00884221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="00B62E2B">
        <w:rPr>
          <w:highlight w:val="yellow"/>
          <w:lang w:val="en-GB"/>
        </w:rPr>
        <w:t xml:space="preserve"> </w:t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941BC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17B7A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8C5388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318A0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97A474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AE94-AD37-447F-B62C-BCE6A9AE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boban</cp:lastModifiedBy>
  <cp:revision>19</cp:revision>
  <cp:lastPrinted>2016-05-31T08:30:00Z</cp:lastPrinted>
  <dcterms:created xsi:type="dcterms:W3CDTF">2018-12-18T11:55:00Z</dcterms:created>
  <dcterms:modified xsi:type="dcterms:W3CDTF">2025-09-04T08:09:00Z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